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F9" w:rsidRDefault="002D5FF9" w:rsidP="002D5FF9">
      <w:pPr>
        <w:pStyle w:val="Plattetekst"/>
        <w:rPr>
          <w:b/>
          <w:bCs/>
        </w:rPr>
      </w:pPr>
    </w:p>
    <w:p w:rsidR="002D5FF9" w:rsidRPr="002D5FF9" w:rsidRDefault="002D5FF9" w:rsidP="002D5FF9">
      <w:pPr>
        <w:pStyle w:val="Plattetekst"/>
        <w:rPr>
          <w:rFonts w:ascii="Arial" w:hAnsi="Arial" w:cs="Arial"/>
          <w:b/>
          <w:bCs/>
        </w:rPr>
      </w:pPr>
    </w:p>
    <w:p w:rsidR="002D5FF9" w:rsidRPr="002D5FF9" w:rsidRDefault="002D5FF9" w:rsidP="002D5FF9">
      <w:pPr>
        <w:pStyle w:val="Plattetekst"/>
        <w:rPr>
          <w:rFonts w:ascii="Arial" w:hAnsi="Arial" w:cs="Arial"/>
          <w:b/>
          <w:bCs/>
        </w:rPr>
      </w:pPr>
    </w:p>
    <w:p w:rsidR="002D5FF9" w:rsidRPr="002D5FF9" w:rsidRDefault="002D5FF9" w:rsidP="002D5FF9">
      <w:pPr>
        <w:pStyle w:val="Plattetekst"/>
        <w:rPr>
          <w:rFonts w:ascii="Arial" w:hAnsi="Arial" w:cs="Arial"/>
          <w:b/>
          <w:bCs/>
        </w:rPr>
      </w:pPr>
      <w:bookmarkStart w:id="0" w:name="_GoBack"/>
    </w:p>
    <w:bookmarkEnd w:id="0"/>
    <w:p w:rsidR="002D5FF9" w:rsidRDefault="002D5FF9" w:rsidP="002D5FF9">
      <w:pPr>
        <w:pStyle w:val="Plattetekst"/>
        <w:rPr>
          <w:rFonts w:ascii="Arial" w:hAnsi="Arial" w:cs="Arial"/>
          <w:b/>
          <w:bCs/>
        </w:rPr>
      </w:pPr>
    </w:p>
    <w:p w:rsidR="002D5FF9" w:rsidRDefault="002D5FF9" w:rsidP="002D5FF9">
      <w:pPr>
        <w:pStyle w:val="Plattetekst"/>
        <w:rPr>
          <w:rFonts w:ascii="Arial" w:hAnsi="Arial" w:cs="Arial"/>
          <w:b/>
          <w:bCs/>
        </w:rPr>
      </w:pPr>
    </w:p>
    <w:p w:rsidR="002D5FF9" w:rsidRDefault="002D5FF9" w:rsidP="002D5FF9">
      <w:pPr>
        <w:pStyle w:val="Plattetekst"/>
        <w:rPr>
          <w:rFonts w:ascii="Arial" w:hAnsi="Arial" w:cs="Arial"/>
          <w:b/>
          <w:bCs/>
        </w:rPr>
      </w:pPr>
    </w:p>
    <w:p w:rsidR="002D5FF9" w:rsidRDefault="002D5FF9" w:rsidP="002D5FF9">
      <w:pPr>
        <w:pStyle w:val="Plattetekst"/>
        <w:rPr>
          <w:rFonts w:ascii="Arial" w:hAnsi="Arial" w:cs="Arial"/>
          <w:b/>
          <w:bCs/>
        </w:rPr>
      </w:pPr>
    </w:p>
    <w:p w:rsidR="002D5FF9" w:rsidRDefault="002D5FF9" w:rsidP="002D5FF9">
      <w:pPr>
        <w:pStyle w:val="Plattetekst"/>
        <w:rPr>
          <w:rFonts w:ascii="Arial" w:hAnsi="Arial" w:cs="Arial"/>
          <w:b/>
          <w:bCs/>
        </w:rPr>
      </w:pPr>
    </w:p>
    <w:p w:rsidR="00253BDA" w:rsidRPr="00280EFF" w:rsidRDefault="00253BDA" w:rsidP="002D5FF9">
      <w:pPr>
        <w:pStyle w:val="Plattetekst"/>
        <w:rPr>
          <w:rFonts w:ascii="Arial" w:hAnsi="Arial" w:cs="Arial"/>
          <w:b/>
          <w:bCs/>
        </w:rPr>
      </w:pPr>
    </w:p>
    <w:p w:rsidR="00253BDA" w:rsidRPr="00280EFF" w:rsidRDefault="00253BDA" w:rsidP="00533429">
      <w:pPr>
        <w:pStyle w:val="Plattetekst"/>
        <w:rPr>
          <w:rFonts w:ascii="Arial" w:hAnsi="Arial" w:cs="Arial"/>
          <w:b/>
          <w:bCs/>
        </w:rPr>
      </w:pPr>
    </w:p>
    <w:p w:rsidR="00114923" w:rsidRPr="00114923" w:rsidRDefault="00114923" w:rsidP="00114923">
      <w:pPr>
        <w:pStyle w:val="Plattetekst"/>
        <w:rPr>
          <w:rFonts w:ascii="Arial" w:hAnsi="Arial" w:cs="Arial"/>
          <w:b/>
          <w:bCs/>
        </w:rPr>
      </w:pPr>
      <w:r w:rsidRPr="00114923">
        <w:rPr>
          <w:rFonts w:ascii="Arial" w:hAnsi="Arial" w:cs="Arial"/>
          <w:b/>
          <w:bCs/>
        </w:rPr>
        <w:t xml:space="preserve">High Temperature Antigen Unmasking Technique using EDTA for </w:t>
      </w:r>
      <w:proofErr w:type="spellStart"/>
      <w:r w:rsidRPr="00114923">
        <w:rPr>
          <w:rFonts w:ascii="Arial" w:hAnsi="Arial" w:cs="Arial"/>
          <w:b/>
          <w:bCs/>
        </w:rPr>
        <w:t>Immunohistochemical</w:t>
      </w:r>
      <w:proofErr w:type="spellEnd"/>
      <w:r w:rsidRPr="00114923">
        <w:rPr>
          <w:rFonts w:ascii="Arial" w:hAnsi="Arial" w:cs="Arial"/>
          <w:b/>
          <w:bCs/>
        </w:rPr>
        <w:t xml:space="preserve"> Demonstration on Paraffin Sections.</w:t>
      </w:r>
    </w:p>
    <w:p w:rsidR="00114923" w:rsidRPr="00114923" w:rsidRDefault="00114923" w:rsidP="00114923">
      <w:pPr>
        <w:pStyle w:val="Plattetekst"/>
        <w:rPr>
          <w:rFonts w:ascii="Arial" w:hAnsi="Arial" w:cs="Arial"/>
          <w:b/>
          <w:bCs/>
        </w:rPr>
      </w:pPr>
    </w:p>
    <w:p w:rsidR="00114923" w:rsidRPr="00114923" w:rsidRDefault="00114923" w:rsidP="00114923">
      <w:pPr>
        <w:pStyle w:val="Plattetekst"/>
        <w:rPr>
          <w:rFonts w:ascii="Arial" w:hAnsi="Arial" w:cs="Arial"/>
        </w:rPr>
      </w:pPr>
      <w:r w:rsidRPr="00114923">
        <w:rPr>
          <w:rFonts w:ascii="Arial" w:hAnsi="Arial" w:cs="Arial"/>
        </w:rPr>
        <w:t xml:space="preserve">1. Cut and mount sections on slides coated with </w:t>
      </w:r>
      <w:proofErr w:type="spellStart"/>
      <w:r w:rsidRPr="00114923">
        <w:rPr>
          <w:rFonts w:ascii="Arial" w:hAnsi="Arial" w:cs="Arial"/>
        </w:rPr>
        <w:t>Vectabond</w:t>
      </w:r>
      <w:proofErr w:type="spellEnd"/>
      <w:r w:rsidRPr="00114923">
        <w:rPr>
          <w:rFonts w:ascii="Arial" w:hAnsi="Arial" w:cs="Arial"/>
        </w:rPr>
        <w:t xml:space="preserve">* or Apes**. </w:t>
      </w:r>
    </w:p>
    <w:p w:rsidR="00114923" w:rsidRPr="00114923" w:rsidRDefault="00114923" w:rsidP="00114923">
      <w:pPr>
        <w:pStyle w:val="Plattetekst"/>
        <w:rPr>
          <w:rFonts w:ascii="Arial" w:hAnsi="Arial" w:cs="Arial"/>
        </w:rPr>
      </w:pPr>
      <w:r w:rsidRPr="00114923">
        <w:rPr>
          <w:rFonts w:ascii="Arial" w:hAnsi="Arial" w:cs="Arial"/>
        </w:rPr>
        <w:t xml:space="preserve">2. </w:t>
      </w:r>
      <w:proofErr w:type="spellStart"/>
      <w:r w:rsidRPr="00114923">
        <w:rPr>
          <w:rFonts w:ascii="Arial" w:hAnsi="Arial" w:cs="Arial"/>
        </w:rPr>
        <w:t>Deparaffinize</w:t>
      </w:r>
      <w:proofErr w:type="spellEnd"/>
      <w:r w:rsidRPr="00114923">
        <w:rPr>
          <w:rFonts w:ascii="Arial" w:hAnsi="Arial" w:cs="Arial"/>
        </w:rPr>
        <w:t xml:space="preserve"> sections and rehydrate to distilled water. </w:t>
      </w:r>
    </w:p>
    <w:p w:rsidR="00114923" w:rsidRPr="00114923" w:rsidRDefault="00114923" w:rsidP="00114923">
      <w:pPr>
        <w:pStyle w:val="Plattetekst"/>
        <w:rPr>
          <w:rFonts w:ascii="Arial" w:hAnsi="Arial" w:cs="Arial"/>
        </w:rPr>
      </w:pPr>
      <w:r w:rsidRPr="00114923">
        <w:rPr>
          <w:rFonts w:ascii="Arial" w:hAnsi="Arial" w:cs="Arial"/>
        </w:rPr>
        <w:t xml:space="preserve">3. Bring 1600ml 1mM EDTA (pH 8.0) to the boil in a Prestige stainless steel pressure cooker, using a hot plate. Cover but do not lock lid. </w:t>
      </w:r>
    </w:p>
    <w:p w:rsidR="00114923" w:rsidRPr="00114923" w:rsidRDefault="00114923" w:rsidP="00114923">
      <w:pPr>
        <w:pStyle w:val="Plattetekst"/>
        <w:rPr>
          <w:rFonts w:ascii="Arial" w:hAnsi="Arial" w:cs="Arial"/>
        </w:rPr>
      </w:pPr>
      <w:r w:rsidRPr="00114923">
        <w:rPr>
          <w:rFonts w:ascii="Arial" w:hAnsi="Arial" w:cs="Arial"/>
        </w:rPr>
        <w:t xml:space="preserve">4. Position slides into metal staining racks and lower into pressure cooker ensuring slides are well immersed in 1mM EDTA. Lock lid. The small valve will rise. </w:t>
      </w:r>
    </w:p>
    <w:p w:rsidR="00114923" w:rsidRPr="00114923" w:rsidRDefault="00114923" w:rsidP="00114923">
      <w:pPr>
        <w:pStyle w:val="Plattetekst"/>
        <w:rPr>
          <w:rFonts w:ascii="Arial" w:hAnsi="Arial" w:cs="Arial"/>
        </w:rPr>
      </w:pPr>
      <w:r w:rsidRPr="00114923">
        <w:rPr>
          <w:rFonts w:ascii="Arial" w:hAnsi="Arial" w:cs="Arial"/>
        </w:rPr>
        <w:t xml:space="preserve">5. When the pressure indicator valve (the large one) has risen after about 4 minutes, incubate sections for 1 minute. </w:t>
      </w:r>
    </w:p>
    <w:p w:rsidR="00114923" w:rsidRPr="00114923" w:rsidRDefault="00114923" w:rsidP="00114923">
      <w:pPr>
        <w:pStyle w:val="Plattetekst"/>
        <w:rPr>
          <w:rFonts w:ascii="Arial" w:hAnsi="Arial" w:cs="Arial"/>
        </w:rPr>
      </w:pPr>
      <w:r w:rsidRPr="00114923">
        <w:rPr>
          <w:rFonts w:ascii="Arial" w:hAnsi="Arial" w:cs="Arial"/>
        </w:rPr>
        <w:t xml:space="preserve">6. Remove pressure cooker from heat source and run under cold water with lid on. When the small valve sinks open lid and remove slides and place immediately into distilled water. DO NOT OPEN LID UNTIL THE SMALL VALVE SINKS. </w:t>
      </w:r>
    </w:p>
    <w:p w:rsidR="00114923" w:rsidRPr="00114923" w:rsidRDefault="00114923" w:rsidP="00114923">
      <w:pPr>
        <w:pStyle w:val="Plattetekst"/>
        <w:rPr>
          <w:rFonts w:ascii="Arial" w:hAnsi="Arial" w:cs="Arial"/>
        </w:rPr>
      </w:pPr>
      <w:r w:rsidRPr="00114923">
        <w:rPr>
          <w:rFonts w:ascii="Arial" w:hAnsi="Arial" w:cs="Arial"/>
        </w:rPr>
        <w:t xml:space="preserve">7. Wash sections in TBS buffer (pH 7.6) for 1 x 5 minutes. </w:t>
      </w:r>
    </w:p>
    <w:p w:rsidR="00114923" w:rsidRPr="00114923" w:rsidRDefault="00114923" w:rsidP="00114923">
      <w:pPr>
        <w:pStyle w:val="Plattetekst"/>
        <w:rPr>
          <w:rFonts w:ascii="Arial" w:hAnsi="Arial" w:cs="Arial"/>
        </w:rPr>
      </w:pPr>
      <w:r w:rsidRPr="00114923">
        <w:rPr>
          <w:rFonts w:ascii="Arial" w:hAnsi="Arial" w:cs="Arial"/>
        </w:rPr>
        <w:t xml:space="preserve">8. Place sections in 1.5% hydrogen peroxide/methanol for 10 minutes. </w:t>
      </w:r>
    </w:p>
    <w:p w:rsidR="00114923" w:rsidRPr="00114923" w:rsidRDefault="00114923" w:rsidP="00114923">
      <w:pPr>
        <w:pStyle w:val="Plattetekst"/>
        <w:rPr>
          <w:rFonts w:ascii="Arial" w:hAnsi="Arial" w:cs="Arial"/>
        </w:rPr>
      </w:pPr>
      <w:r w:rsidRPr="00114923">
        <w:rPr>
          <w:rFonts w:ascii="Arial" w:hAnsi="Arial" w:cs="Arial"/>
        </w:rPr>
        <w:t xml:space="preserve">9. Wash sections in distilled water for 2 x 5 minutes, then wash sections in TBS buffer for 2 x 5 minutes. </w:t>
      </w:r>
    </w:p>
    <w:p w:rsidR="00114923" w:rsidRPr="00114923" w:rsidRDefault="00114923" w:rsidP="00114923">
      <w:pPr>
        <w:pStyle w:val="Plattetekst"/>
        <w:rPr>
          <w:rFonts w:ascii="Arial" w:hAnsi="Arial" w:cs="Arial"/>
        </w:rPr>
      </w:pPr>
      <w:r w:rsidRPr="00114923">
        <w:rPr>
          <w:rFonts w:ascii="Arial" w:hAnsi="Arial" w:cs="Arial"/>
        </w:rPr>
        <w:t xml:space="preserve">10. Place sections in normal serum for 20 minutes. </w:t>
      </w:r>
    </w:p>
    <w:p w:rsidR="00114923" w:rsidRPr="00114923" w:rsidRDefault="00114923" w:rsidP="00114923">
      <w:pPr>
        <w:pStyle w:val="Plattetekst"/>
        <w:rPr>
          <w:rFonts w:ascii="Arial" w:hAnsi="Arial" w:cs="Arial"/>
        </w:rPr>
      </w:pPr>
      <w:r w:rsidRPr="00114923">
        <w:rPr>
          <w:rFonts w:ascii="Arial" w:hAnsi="Arial" w:cs="Arial"/>
        </w:rPr>
        <w:t xml:space="preserve">11. Cover sections with primary antibody. ( The optimal dilution of the antibody, incubation time and incubation temperature should be determined by the individual laboratory). </w:t>
      </w:r>
    </w:p>
    <w:p w:rsidR="00114923" w:rsidRPr="00114923" w:rsidRDefault="00114923" w:rsidP="00114923">
      <w:pPr>
        <w:pStyle w:val="Plattetekst"/>
        <w:rPr>
          <w:rFonts w:ascii="Arial" w:hAnsi="Arial" w:cs="Arial"/>
        </w:rPr>
      </w:pPr>
      <w:r w:rsidRPr="00114923">
        <w:rPr>
          <w:rFonts w:ascii="Arial" w:hAnsi="Arial" w:cs="Arial"/>
        </w:rPr>
        <w:t xml:space="preserve">12. Wash in TBS buffer for 2 x 5 minutes. </w:t>
      </w:r>
    </w:p>
    <w:p w:rsidR="00114923" w:rsidRPr="00114923" w:rsidRDefault="00114923" w:rsidP="00114923">
      <w:pPr>
        <w:pStyle w:val="Plattetekst"/>
        <w:rPr>
          <w:rFonts w:ascii="Arial" w:hAnsi="Arial" w:cs="Arial"/>
        </w:rPr>
      </w:pPr>
      <w:r w:rsidRPr="00114923">
        <w:rPr>
          <w:rFonts w:ascii="Arial" w:hAnsi="Arial" w:cs="Arial"/>
        </w:rPr>
        <w:t xml:space="preserve">13. Incubate sections in secondary antibody for 30 minutes. </w:t>
      </w:r>
    </w:p>
    <w:p w:rsidR="00114923" w:rsidRPr="00114923" w:rsidRDefault="00114923" w:rsidP="00114923">
      <w:pPr>
        <w:pStyle w:val="Plattetekst"/>
        <w:rPr>
          <w:rFonts w:ascii="Arial" w:hAnsi="Arial" w:cs="Arial"/>
        </w:rPr>
      </w:pPr>
      <w:r w:rsidRPr="00114923">
        <w:rPr>
          <w:rFonts w:ascii="Arial" w:hAnsi="Arial" w:cs="Arial"/>
        </w:rPr>
        <w:t xml:space="preserve">14. Wash in TBS buffer for 2 x 5 minutes. </w:t>
      </w:r>
    </w:p>
    <w:p w:rsidR="00114923" w:rsidRPr="00114923" w:rsidRDefault="00114923" w:rsidP="00114923">
      <w:pPr>
        <w:pStyle w:val="Plattetekst"/>
        <w:rPr>
          <w:rFonts w:ascii="Arial" w:hAnsi="Arial" w:cs="Arial"/>
        </w:rPr>
      </w:pPr>
      <w:r w:rsidRPr="00114923">
        <w:rPr>
          <w:rFonts w:ascii="Arial" w:hAnsi="Arial" w:cs="Arial"/>
        </w:rPr>
        <w:t xml:space="preserve">15. Incubate slides in </w:t>
      </w:r>
      <w:proofErr w:type="spellStart"/>
      <w:r w:rsidRPr="00114923">
        <w:rPr>
          <w:rFonts w:ascii="Arial" w:hAnsi="Arial" w:cs="Arial"/>
        </w:rPr>
        <w:t>ABComplex</w:t>
      </w:r>
      <w:proofErr w:type="spellEnd"/>
      <w:r w:rsidRPr="00114923">
        <w:rPr>
          <w:rFonts w:ascii="Arial" w:hAnsi="Arial" w:cs="Arial"/>
        </w:rPr>
        <w:t xml:space="preserve"> for 30 minutes. </w:t>
      </w:r>
    </w:p>
    <w:p w:rsidR="00114923" w:rsidRPr="00114923" w:rsidRDefault="00114923" w:rsidP="00114923">
      <w:pPr>
        <w:pStyle w:val="Plattetekst"/>
        <w:rPr>
          <w:rFonts w:ascii="Arial" w:hAnsi="Arial" w:cs="Arial"/>
        </w:rPr>
      </w:pPr>
      <w:r w:rsidRPr="00114923">
        <w:rPr>
          <w:rFonts w:ascii="Arial" w:hAnsi="Arial" w:cs="Arial"/>
        </w:rPr>
        <w:t xml:space="preserve">16. Wash in TBS buffer for 2 x 5 minutes. </w:t>
      </w:r>
    </w:p>
    <w:p w:rsidR="00114923" w:rsidRPr="00114923" w:rsidRDefault="00114923" w:rsidP="00114923">
      <w:pPr>
        <w:pStyle w:val="Plattetekst"/>
        <w:rPr>
          <w:rFonts w:ascii="Arial" w:hAnsi="Arial" w:cs="Arial"/>
        </w:rPr>
      </w:pPr>
      <w:r w:rsidRPr="00114923">
        <w:rPr>
          <w:rFonts w:ascii="Arial" w:hAnsi="Arial" w:cs="Arial"/>
        </w:rPr>
        <w:t xml:space="preserve">17. Incubate slides in DAB. </w:t>
      </w:r>
    </w:p>
    <w:p w:rsidR="00114923" w:rsidRPr="00114923" w:rsidRDefault="00114923" w:rsidP="00114923">
      <w:pPr>
        <w:pStyle w:val="Plattetekst"/>
        <w:rPr>
          <w:rFonts w:ascii="Arial" w:hAnsi="Arial" w:cs="Arial"/>
        </w:rPr>
      </w:pPr>
      <w:r w:rsidRPr="00114923">
        <w:rPr>
          <w:rFonts w:ascii="Arial" w:hAnsi="Arial" w:cs="Arial"/>
        </w:rPr>
        <w:t xml:space="preserve">18. Wash in water for 2 x 5 minutes. </w:t>
      </w:r>
    </w:p>
    <w:p w:rsidR="00114923" w:rsidRPr="00114923" w:rsidRDefault="00114923" w:rsidP="00114923">
      <w:pPr>
        <w:pStyle w:val="Plattetekst"/>
        <w:rPr>
          <w:rFonts w:ascii="Arial" w:hAnsi="Arial" w:cs="Arial"/>
        </w:rPr>
      </w:pPr>
      <w:r w:rsidRPr="00114923">
        <w:rPr>
          <w:rFonts w:ascii="Arial" w:hAnsi="Arial" w:cs="Arial"/>
        </w:rPr>
        <w:t xml:space="preserve">19. Counterstain with </w:t>
      </w:r>
      <w:proofErr w:type="spellStart"/>
      <w:r w:rsidRPr="00114923">
        <w:rPr>
          <w:rFonts w:ascii="Arial" w:hAnsi="Arial" w:cs="Arial"/>
        </w:rPr>
        <w:t>haematoxylin</w:t>
      </w:r>
      <w:proofErr w:type="spellEnd"/>
      <w:r w:rsidRPr="00114923">
        <w:rPr>
          <w:rFonts w:ascii="Arial" w:hAnsi="Arial" w:cs="Arial"/>
        </w:rPr>
        <w:t xml:space="preserve"> (if required), dehydrate, coverslip and mount. </w:t>
      </w:r>
    </w:p>
    <w:p w:rsidR="00114923" w:rsidRPr="00114923" w:rsidRDefault="00114923" w:rsidP="00114923">
      <w:pPr>
        <w:pStyle w:val="Plattetekst"/>
        <w:rPr>
          <w:rFonts w:ascii="Arial" w:hAnsi="Arial" w:cs="Arial"/>
          <w:b/>
          <w:bCs/>
        </w:rPr>
      </w:pPr>
    </w:p>
    <w:p w:rsidR="00114923" w:rsidRPr="00114923" w:rsidRDefault="00114923" w:rsidP="00114923">
      <w:pPr>
        <w:pStyle w:val="Plattetekst"/>
        <w:rPr>
          <w:rFonts w:ascii="Arial" w:hAnsi="Arial" w:cs="Arial"/>
          <w:lang w:val="fr-FR"/>
        </w:rPr>
      </w:pPr>
      <w:r w:rsidRPr="00114923">
        <w:rPr>
          <w:rFonts w:ascii="Arial" w:hAnsi="Arial" w:cs="Arial"/>
          <w:lang w:val="fr-FR"/>
        </w:rPr>
        <w:t>*</w:t>
      </w:r>
      <w:proofErr w:type="spellStart"/>
      <w:r w:rsidRPr="00114923">
        <w:rPr>
          <w:rFonts w:ascii="Arial" w:hAnsi="Arial" w:cs="Arial"/>
          <w:lang w:val="fr-FR"/>
        </w:rPr>
        <w:t>Vectabond</w:t>
      </w:r>
      <w:proofErr w:type="spellEnd"/>
      <w:r w:rsidRPr="00114923">
        <w:rPr>
          <w:rFonts w:ascii="Arial" w:hAnsi="Arial" w:cs="Arial"/>
          <w:lang w:val="fr-FR"/>
        </w:rPr>
        <w:t xml:space="preserve">: (Catalogue No SP1800) </w:t>
      </w:r>
      <w:proofErr w:type="spellStart"/>
      <w:r w:rsidRPr="00114923">
        <w:rPr>
          <w:rFonts w:ascii="Arial" w:hAnsi="Arial" w:cs="Arial"/>
          <w:lang w:val="fr-FR"/>
        </w:rPr>
        <w:t>Vector</w:t>
      </w:r>
      <w:proofErr w:type="spellEnd"/>
      <w:r w:rsidRPr="00114923">
        <w:rPr>
          <w:rFonts w:ascii="Arial" w:hAnsi="Arial" w:cs="Arial"/>
          <w:lang w:val="fr-FR"/>
        </w:rPr>
        <w:t xml:space="preserve"> </w:t>
      </w:r>
      <w:proofErr w:type="spellStart"/>
      <w:r w:rsidRPr="00114923">
        <w:rPr>
          <w:rFonts w:ascii="Arial" w:hAnsi="Arial" w:cs="Arial"/>
          <w:lang w:val="fr-FR"/>
        </w:rPr>
        <w:t>Laboratories</w:t>
      </w:r>
      <w:proofErr w:type="spellEnd"/>
    </w:p>
    <w:p w:rsidR="00114923" w:rsidRPr="00114923" w:rsidRDefault="00114923" w:rsidP="00114923">
      <w:pPr>
        <w:pStyle w:val="Plattetekst"/>
        <w:rPr>
          <w:rFonts w:ascii="Arial" w:hAnsi="Arial" w:cs="Arial"/>
          <w:lang w:val="fr-FR"/>
        </w:rPr>
      </w:pPr>
      <w:r w:rsidRPr="00114923">
        <w:rPr>
          <w:rFonts w:ascii="Arial" w:hAnsi="Arial" w:cs="Arial"/>
          <w:lang w:val="fr-FR"/>
        </w:rPr>
        <w:t xml:space="preserve">**APES (3-aminopropyltriethoxysilane) (Catalogue No A3648) Sigma </w:t>
      </w:r>
      <w:proofErr w:type="spellStart"/>
      <w:r w:rsidRPr="00114923">
        <w:rPr>
          <w:rFonts w:ascii="Arial" w:hAnsi="Arial" w:cs="Arial"/>
          <w:lang w:val="fr-FR"/>
        </w:rPr>
        <w:t>Immunochemicals</w:t>
      </w:r>
      <w:proofErr w:type="spellEnd"/>
    </w:p>
    <w:p w:rsidR="00114923" w:rsidRPr="00114923" w:rsidRDefault="00114923" w:rsidP="00114923">
      <w:pPr>
        <w:pStyle w:val="Plattetekst"/>
        <w:rPr>
          <w:rFonts w:ascii="Arial" w:hAnsi="Arial" w:cs="Arial"/>
          <w:lang w:val="fr-FR"/>
        </w:rPr>
      </w:pPr>
    </w:p>
    <w:p w:rsidR="00114923" w:rsidRPr="00114923" w:rsidRDefault="00114923" w:rsidP="00114923">
      <w:pPr>
        <w:pStyle w:val="Plattetekst"/>
        <w:rPr>
          <w:rFonts w:ascii="Arial" w:hAnsi="Arial" w:cs="Arial"/>
        </w:rPr>
      </w:pPr>
      <w:r w:rsidRPr="00114923">
        <w:rPr>
          <w:rFonts w:ascii="Arial" w:hAnsi="Arial" w:cs="Arial"/>
        </w:rPr>
        <w:t>To avoid sections becoming detached, sections should be mounted on “</w:t>
      </w:r>
      <w:proofErr w:type="spellStart"/>
      <w:r w:rsidRPr="00114923">
        <w:rPr>
          <w:rFonts w:ascii="Arial" w:hAnsi="Arial" w:cs="Arial"/>
        </w:rPr>
        <w:t>Vectabond</w:t>
      </w:r>
      <w:proofErr w:type="spellEnd"/>
      <w:r w:rsidRPr="00114923">
        <w:rPr>
          <w:rFonts w:ascii="Arial" w:hAnsi="Arial" w:cs="Arial"/>
        </w:rPr>
        <w:t>” or “APES” covered slides, then dried at 37</w:t>
      </w:r>
      <w:r w:rsidRPr="00114923">
        <w:rPr>
          <w:rFonts w:ascii="Arial" w:hAnsi="Arial" w:cs="Arial"/>
          <w:vertAlign w:val="superscript"/>
        </w:rPr>
        <w:t>o</w:t>
      </w:r>
      <w:r w:rsidRPr="00114923">
        <w:rPr>
          <w:rFonts w:ascii="Arial" w:hAnsi="Arial" w:cs="Arial"/>
        </w:rPr>
        <w:t>C overnight followed by drying at 56</w:t>
      </w:r>
      <w:r w:rsidRPr="00114923">
        <w:rPr>
          <w:rFonts w:ascii="Arial" w:hAnsi="Arial" w:cs="Arial"/>
          <w:vertAlign w:val="superscript"/>
        </w:rPr>
        <w:t>o</w:t>
      </w:r>
      <w:r w:rsidRPr="00114923">
        <w:rPr>
          <w:rFonts w:ascii="Arial" w:hAnsi="Arial" w:cs="Arial"/>
        </w:rPr>
        <w:t>C for 60 minutes.</w:t>
      </w:r>
    </w:p>
    <w:p w:rsidR="00F96060" w:rsidRPr="00114923" w:rsidRDefault="00F96060" w:rsidP="00533429">
      <w:pPr>
        <w:spacing w:after="0" w:line="240" w:lineRule="auto"/>
        <w:rPr>
          <w:rFonts w:ascii="Arial" w:hAnsi="Arial" w:cs="Arial"/>
          <w:sz w:val="20"/>
          <w:szCs w:val="20"/>
          <w:lang w:val="en-US"/>
        </w:rPr>
      </w:pPr>
    </w:p>
    <w:p w:rsidR="00F96060" w:rsidRPr="00114923" w:rsidRDefault="00F96060" w:rsidP="00533429">
      <w:pPr>
        <w:spacing w:after="0" w:line="240" w:lineRule="auto"/>
        <w:rPr>
          <w:rFonts w:ascii="Arial" w:hAnsi="Arial" w:cs="Arial"/>
          <w:sz w:val="20"/>
          <w:szCs w:val="20"/>
          <w:lang w:val="en-US"/>
        </w:rPr>
      </w:pPr>
    </w:p>
    <w:p w:rsidR="00F96060" w:rsidRPr="00114923" w:rsidRDefault="00F96060" w:rsidP="00533429">
      <w:pPr>
        <w:spacing w:after="0" w:line="240" w:lineRule="auto"/>
        <w:rPr>
          <w:rFonts w:ascii="Arial" w:hAnsi="Arial" w:cs="Arial"/>
          <w:sz w:val="20"/>
          <w:szCs w:val="20"/>
          <w:lang w:val="en-US"/>
        </w:rPr>
      </w:pPr>
    </w:p>
    <w:p w:rsidR="00F96060" w:rsidRPr="00114923" w:rsidRDefault="00F96060" w:rsidP="00533429">
      <w:pPr>
        <w:spacing w:after="0" w:line="240" w:lineRule="auto"/>
        <w:rPr>
          <w:rFonts w:ascii="Arial" w:hAnsi="Arial" w:cs="Arial"/>
          <w:sz w:val="20"/>
          <w:szCs w:val="20"/>
          <w:lang w:val="en-US"/>
        </w:rPr>
      </w:pPr>
    </w:p>
    <w:p w:rsidR="00F96060" w:rsidRPr="00114923" w:rsidRDefault="00F96060" w:rsidP="00533429">
      <w:pPr>
        <w:spacing w:after="0" w:line="240" w:lineRule="auto"/>
        <w:rPr>
          <w:rFonts w:ascii="Arial" w:hAnsi="Arial" w:cs="Arial"/>
          <w:sz w:val="20"/>
          <w:szCs w:val="20"/>
          <w:lang w:val="en-US"/>
        </w:rPr>
      </w:pPr>
    </w:p>
    <w:p w:rsidR="00F96060" w:rsidRPr="00114923" w:rsidRDefault="00F96060" w:rsidP="000A318A">
      <w:pPr>
        <w:spacing w:after="0"/>
        <w:rPr>
          <w:rFonts w:ascii="Arial" w:hAnsi="Arial" w:cs="Arial"/>
          <w:sz w:val="20"/>
          <w:szCs w:val="20"/>
          <w:lang w:val="en-US"/>
        </w:rPr>
      </w:pPr>
    </w:p>
    <w:p w:rsidR="00F96060" w:rsidRPr="00114923" w:rsidRDefault="00F96060" w:rsidP="000A318A">
      <w:pPr>
        <w:spacing w:after="0"/>
        <w:rPr>
          <w:rFonts w:ascii="Arial" w:hAnsi="Arial" w:cs="Arial"/>
          <w:sz w:val="20"/>
          <w:szCs w:val="20"/>
          <w:lang w:val="en-US"/>
        </w:rPr>
      </w:pPr>
    </w:p>
    <w:p w:rsidR="00F96060" w:rsidRPr="00114923" w:rsidRDefault="00F96060" w:rsidP="00094C44">
      <w:pPr>
        <w:spacing w:after="0"/>
        <w:rPr>
          <w:rFonts w:ascii="Arial" w:hAnsi="Arial" w:cs="Arial"/>
          <w:sz w:val="20"/>
          <w:szCs w:val="20"/>
          <w:lang w:val="en-US"/>
        </w:rPr>
      </w:pPr>
    </w:p>
    <w:p w:rsidR="00F96060" w:rsidRPr="00094C44" w:rsidRDefault="00F96060" w:rsidP="00094C44">
      <w:pPr>
        <w:spacing w:after="0"/>
        <w:rPr>
          <w:rFonts w:ascii="Ubuntu" w:hAnsi="Ubuntu"/>
          <w:sz w:val="20"/>
          <w:szCs w:val="20"/>
          <w:lang w:val="en-US"/>
        </w:rPr>
      </w:pPr>
    </w:p>
    <w:p w:rsidR="00F96060" w:rsidRPr="00094C44" w:rsidRDefault="00F96060" w:rsidP="00094C44">
      <w:pPr>
        <w:spacing w:after="0"/>
        <w:rPr>
          <w:rFonts w:ascii="Ubuntu" w:hAnsi="Ubuntu"/>
          <w:sz w:val="20"/>
          <w:szCs w:val="20"/>
          <w:lang w:val="en-US"/>
        </w:rPr>
      </w:pPr>
    </w:p>
    <w:p w:rsidR="00F96060" w:rsidRPr="00094C44" w:rsidRDefault="00F96060" w:rsidP="00094C44">
      <w:pPr>
        <w:spacing w:after="0"/>
        <w:rPr>
          <w:rFonts w:ascii="Ubuntu" w:hAnsi="Ubuntu"/>
          <w:sz w:val="20"/>
          <w:szCs w:val="20"/>
          <w:lang w:val="en-US"/>
        </w:rPr>
      </w:pPr>
    </w:p>
    <w:p w:rsidR="00F96060" w:rsidRPr="00094C44" w:rsidRDefault="00F96060" w:rsidP="00094C44">
      <w:pPr>
        <w:spacing w:after="0"/>
        <w:rPr>
          <w:rFonts w:ascii="Ubuntu" w:hAnsi="Ubuntu"/>
          <w:sz w:val="20"/>
          <w:szCs w:val="20"/>
          <w:lang w:val="en-US"/>
        </w:rPr>
      </w:pPr>
    </w:p>
    <w:sectPr w:rsidR="00F96060" w:rsidRPr="00094C44" w:rsidSect="00F960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98C" w:rsidRDefault="00CB198C" w:rsidP="00D75166">
      <w:pPr>
        <w:spacing w:after="0" w:line="240" w:lineRule="auto"/>
      </w:pPr>
      <w:r>
        <w:separator/>
      </w:r>
    </w:p>
  </w:endnote>
  <w:endnote w:type="continuationSeparator" w:id="0">
    <w:p w:rsidR="00CB198C" w:rsidRDefault="00CB198C" w:rsidP="00D7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06" w:rsidRDefault="00CB6D0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A49" w:rsidRDefault="00297C03">
    <w:pPr>
      <w:pStyle w:val="Voettekst"/>
    </w:pPr>
    <w:r>
      <w:rPr>
        <w:noProof/>
        <w:lang w:eastAsia="nl-NL"/>
      </w:rPr>
      <w:drawing>
        <wp:anchor distT="0" distB="0" distL="114300" distR="114300" simplePos="0" relativeHeight="251658240" behindDoc="1" locked="0" layoutInCell="1" allowOverlap="1">
          <wp:simplePos x="0" y="0"/>
          <wp:positionH relativeFrom="page">
            <wp:posOffset>0</wp:posOffset>
          </wp:positionH>
          <wp:positionV relativeFrom="paragraph">
            <wp:posOffset>-1104900</wp:posOffset>
          </wp:positionV>
          <wp:extent cx="7555230" cy="1012825"/>
          <wp:effectExtent l="0" t="0" r="7620" b="0"/>
          <wp:wrapNone/>
          <wp:docPr id="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5166" w:rsidRDefault="00D7516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06" w:rsidRDefault="00CB6D0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98C" w:rsidRDefault="00CB198C" w:rsidP="00D75166">
      <w:pPr>
        <w:spacing w:after="0" w:line="240" w:lineRule="auto"/>
      </w:pPr>
      <w:r>
        <w:separator/>
      </w:r>
    </w:p>
  </w:footnote>
  <w:footnote w:type="continuationSeparator" w:id="0">
    <w:p w:rsidR="00CB198C" w:rsidRDefault="00CB198C" w:rsidP="00D75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06" w:rsidRDefault="00CB6D0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19B" w:rsidRDefault="00297C03" w:rsidP="008759E4">
    <w:pPr>
      <w:pStyle w:val="Koptekst"/>
      <w:tabs>
        <w:tab w:val="clear" w:pos="4536"/>
        <w:tab w:val="left" w:pos="8625"/>
      </w:tabs>
    </w:pPr>
    <w:r>
      <w:rPr>
        <w:noProof/>
        <w:lang w:eastAsia="nl-NL"/>
      </w:rPr>
      <w:drawing>
        <wp:anchor distT="0" distB="0" distL="114300" distR="114300" simplePos="0" relativeHeight="251659264" behindDoc="1" locked="0" layoutInCell="1" allowOverlap="1">
          <wp:simplePos x="0" y="0"/>
          <wp:positionH relativeFrom="column">
            <wp:posOffset>4510405</wp:posOffset>
          </wp:positionH>
          <wp:positionV relativeFrom="paragraph">
            <wp:posOffset>102235</wp:posOffset>
          </wp:positionV>
          <wp:extent cx="1676400" cy="1512570"/>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512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9E4">
      <w:tab/>
    </w:r>
    <w:r w:rsidR="008759E4">
      <w:tab/>
    </w:r>
  </w:p>
  <w:p w:rsidR="00D75166" w:rsidRDefault="00D75166" w:rsidP="00D75166">
    <w:pPr>
      <w:pStyle w:val="Kopteks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06" w:rsidRDefault="00CB6D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66"/>
    <w:rsid w:val="0000113F"/>
    <w:rsid w:val="00094C44"/>
    <w:rsid w:val="000A318A"/>
    <w:rsid w:val="000E1391"/>
    <w:rsid w:val="00114923"/>
    <w:rsid w:val="00156CE2"/>
    <w:rsid w:val="00253BDA"/>
    <w:rsid w:val="00277B31"/>
    <w:rsid w:val="00280EFF"/>
    <w:rsid w:val="00297C03"/>
    <w:rsid w:val="002D5FF9"/>
    <w:rsid w:val="003C7808"/>
    <w:rsid w:val="00533429"/>
    <w:rsid w:val="0064744F"/>
    <w:rsid w:val="00776E14"/>
    <w:rsid w:val="008759E4"/>
    <w:rsid w:val="0092362B"/>
    <w:rsid w:val="00BD15A0"/>
    <w:rsid w:val="00C2319B"/>
    <w:rsid w:val="00CB198C"/>
    <w:rsid w:val="00CB6D06"/>
    <w:rsid w:val="00D12EF4"/>
    <w:rsid w:val="00D70A49"/>
    <w:rsid w:val="00D75166"/>
    <w:rsid w:val="00F96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1B73E6C-6E40-4F7C-8047-245773E3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51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5166"/>
  </w:style>
  <w:style w:type="paragraph" w:styleId="Voettekst">
    <w:name w:val="footer"/>
    <w:basedOn w:val="Standaard"/>
    <w:link w:val="VoettekstChar"/>
    <w:uiPriority w:val="99"/>
    <w:unhideWhenUsed/>
    <w:rsid w:val="00D751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5166"/>
  </w:style>
  <w:style w:type="paragraph" w:styleId="Ballontekst">
    <w:name w:val="Balloon Text"/>
    <w:basedOn w:val="Standaard"/>
    <w:link w:val="BallontekstChar"/>
    <w:uiPriority w:val="99"/>
    <w:semiHidden/>
    <w:unhideWhenUsed/>
    <w:rsid w:val="00156CE2"/>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156CE2"/>
    <w:rPr>
      <w:rFonts w:ascii="Segoe UI" w:hAnsi="Segoe UI" w:cs="Segoe UI"/>
      <w:sz w:val="18"/>
      <w:szCs w:val="18"/>
    </w:rPr>
  </w:style>
  <w:style w:type="paragraph" w:styleId="Plattetekst">
    <w:name w:val="Body Text"/>
    <w:basedOn w:val="Standaard"/>
    <w:link w:val="PlattetekstChar"/>
    <w:rsid w:val="002D5FF9"/>
    <w:pPr>
      <w:spacing w:after="0" w:line="240" w:lineRule="auto"/>
    </w:pPr>
    <w:rPr>
      <w:rFonts w:ascii="Times New Roman" w:eastAsia="Times New Roman" w:hAnsi="Times New Roman"/>
      <w:sz w:val="20"/>
      <w:szCs w:val="20"/>
      <w:lang w:val="en-US" w:eastAsia="nl-NL"/>
    </w:rPr>
  </w:style>
  <w:style w:type="character" w:customStyle="1" w:styleId="PlattetekstChar">
    <w:name w:val="Platte tekst Char"/>
    <w:link w:val="Plattetekst"/>
    <w:rsid w:val="002D5FF9"/>
    <w:rPr>
      <w:rFonts w:ascii="Times New Roman" w:eastAsia="Times New Roman" w:hAnsi="Times New Roman" w:cs="Times New Roman"/>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Roijackers</dc:creator>
  <cp:keywords/>
  <dc:description/>
  <cp:lastModifiedBy>Lisanne van Rooij</cp:lastModifiedBy>
  <cp:revision>2</cp:revision>
  <cp:lastPrinted>2019-05-13T09:10:00Z</cp:lastPrinted>
  <dcterms:created xsi:type="dcterms:W3CDTF">2019-09-10T13:53:00Z</dcterms:created>
  <dcterms:modified xsi:type="dcterms:W3CDTF">2019-09-10T13:53:00Z</dcterms:modified>
</cp:coreProperties>
</file>