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  <w:b/>
          <w:bCs/>
        </w:rPr>
      </w:pPr>
      <w:bookmarkStart w:id="0" w:name="_GoBack"/>
      <w:r w:rsidRPr="00F93F86">
        <w:rPr>
          <w:rFonts w:ascii="Arial" w:hAnsi="Arial" w:cs="Arial"/>
          <w:b/>
          <w:bCs/>
        </w:rPr>
        <w:t>Method for Use of Antibodies in Western Blotting</w:t>
      </w:r>
    </w:p>
    <w:bookmarkEnd w:id="0"/>
    <w:p w:rsidR="00F93F86" w:rsidRPr="00F93F86" w:rsidRDefault="00F93F86" w:rsidP="00F93F86">
      <w:pPr>
        <w:pStyle w:val="Plattetekst"/>
        <w:rPr>
          <w:rFonts w:ascii="Arial" w:hAnsi="Arial" w:cs="Arial"/>
          <w:b/>
          <w:bCs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</w:rPr>
      </w:pPr>
      <w:r w:rsidRPr="00F93F86">
        <w:rPr>
          <w:rFonts w:ascii="Arial" w:hAnsi="Arial" w:cs="Arial"/>
          <w:u w:val="single"/>
        </w:rPr>
        <w:t>Electrophoresis and Transfer: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 xml:space="preserve">1. Prepare and run appropriate strength SDS polyacrylamide gels. Stop electrophoresis just before </w:t>
      </w:r>
      <w:proofErr w:type="spellStart"/>
      <w:r w:rsidRPr="00F93F86">
        <w:rPr>
          <w:rFonts w:ascii="Arial" w:hAnsi="Arial" w:cs="Arial"/>
        </w:rPr>
        <w:t>dyefront</w:t>
      </w:r>
      <w:proofErr w:type="spellEnd"/>
      <w:r w:rsidRPr="00F93F86">
        <w:rPr>
          <w:rFonts w:ascii="Arial" w:hAnsi="Arial" w:cs="Arial"/>
        </w:rPr>
        <w:t xml:space="preserve"> migrates off the end of the gel, thus allowing orientation after removal of the stacking gel.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 xml:space="preserve">2. Equilibrate gel in ice-cold transfer buffer for 5 minutes.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>3. Prepare blot sandwich with three pieces of blotting paper (Sigma, P4556) each slightly larger than the gel soaked in transfer buffer and laid on top of one another. Place a piece of nitrocellulose (</w:t>
      </w:r>
      <w:proofErr w:type="spellStart"/>
      <w:r w:rsidRPr="00F93F86">
        <w:rPr>
          <w:rFonts w:ascii="Arial" w:hAnsi="Arial" w:cs="Arial"/>
        </w:rPr>
        <w:t>eg</w:t>
      </w:r>
      <w:proofErr w:type="spellEnd"/>
      <w:r w:rsidRPr="00F93F86">
        <w:rPr>
          <w:rFonts w:ascii="Arial" w:hAnsi="Arial" w:cs="Arial"/>
        </w:rPr>
        <w:t xml:space="preserve"> </w:t>
      </w:r>
      <w:proofErr w:type="spellStart"/>
      <w:r w:rsidRPr="00F93F86">
        <w:rPr>
          <w:rFonts w:ascii="Arial" w:hAnsi="Arial" w:cs="Arial"/>
        </w:rPr>
        <w:t>Amershan</w:t>
      </w:r>
      <w:proofErr w:type="spellEnd"/>
      <w:r w:rsidRPr="00F93F86">
        <w:rPr>
          <w:rFonts w:ascii="Arial" w:hAnsi="Arial" w:cs="Arial"/>
        </w:rPr>
        <w:t xml:space="preserve"> </w:t>
      </w:r>
      <w:proofErr w:type="spellStart"/>
      <w:r w:rsidRPr="00F93F86">
        <w:rPr>
          <w:rFonts w:ascii="Arial" w:hAnsi="Arial" w:cs="Arial"/>
        </w:rPr>
        <w:t>Hybond</w:t>
      </w:r>
      <w:proofErr w:type="spellEnd"/>
      <w:r w:rsidRPr="00F93F86">
        <w:rPr>
          <w:rFonts w:ascii="Arial" w:hAnsi="Arial" w:cs="Arial"/>
        </w:rPr>
        <w:t xml:space="preserve"> C extra) of similar size onto the filter paper; the nitrocellulose should have a blue biro line ruled along one of the long edges and be </w:t>
      </w:r>
      <w:proofErr w:type="spellStart"/>
      <w:r w:rsidRPr="00F93F86">
        <w:rPr>
          <w:rFonts w:ascii="Arial" w:hAnsi="Arial" w:cs="Arial"/>
        </w:rPr>
        <w:t>prewetted</w:t>
      </w:r>
      <w:proofErr w:type="spellEnd"/>
      <w:r w:rsidRPr="00F93F86">
        <w:rPr>
          <w:rFonts w:ascii="Arial" w:hAnsi="Arial" w:cs="Arial"/>
        </w:rPr>
        <w:t xml:space="preserve"> with transfer buffer.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 xml:space="preserve">4. Carefully place the gel onto the nitrocellulose, taking care to avoid trapping air bubbles. Align the dye front with the pen line on the nitrocellulose. Complete the sandwich with a further three sheets of soaked blotting paper. Run the transfer at a constant current of approximately 60 mA per </w:t>
      </w:r>
      <w:proofErr w:type="spellStart"/>
      <w:r w:rsidRPr="00F93F86">
        <w:rPr>
          <w:rFonts w:ascii="Arial" w:hAnsi="Arial" w:cs="Arial"/>
        </w:rPr>
        <w:t>minigel</w:t>
      </w:r>
      <w:proofErr w:type="spellEnd"/>
      <w:r w:rsidRPr="00F93F86">
        <w:rPr>
          <w:rFonts w:ascii="Arial" w:hAnsi="Arial" w:cs="Arial"/>
        </w:rPr>
        <w:t xml:space="preserve"> for 30 minutes.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</w:rPr>
      </w:pPr>
      <w:r w:rsidRPr="00F93F86">
        <w:rPr>
          <w:rFonts w:ascii="Arial" w:hAnsi="Arial" w:cs="Arial"/>
          <w:u w:val="single"/>
        </w:rPr>
        <w:t>Blocking:</w:t>
      </w: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>1. Disassemble sandwich and remove excess nitrocellulose. Remove strip of nitrocellulose containing standards and stain as desired for protein. Place rest of sheet in block buffer (10% (w/v) non-fat dried milk in rinse buffer (RB) for 60 minutes at 25</w:t>
      </w:r>
      <w:r w:rsidRPr="00F93F86">
        <w:rPr>
          <w:rFonts w:ascii="Arial" w:hAnsi="Arial" w:cs="Arial"/>
          <w:vertAlign w:val="superscript"/>
        </w:rPr>
        <w:t>o</w:t>
      </w:r>
      <w:r w:rsidRPr="00F93F86">
        <w:rPr>
          <w:rFonts w:ascii="Arial" w:hAnsi="Arial" w:cs="Arial"/>
        </w:rPr>
        <w:t>C or overnight at 4</w:t>
      </w:r>
      <w:r w:rsidRPr="00F93F86">
        <w:rPr>
          <w:rFonts w:ascii="Arial" w:hAnsi="Arial" w:cs="Arial"/>
          <w:vertAlign w:val="superscript"/>
        </w:rPr>
        <w:t>o</w:t>
      </w:r>
      <w:r w:rsidRPr="00F93F86">
        <w:rPr>
          <w:rFonts w:ascii="Arial" w:hAnsi="Arial" w:cs="Arial"/>
        </w:rPr>
        <w:t xml:space="preserve">C.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>2. Discard block buffer and rinse sheet briefly with RB.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</w:rPr>
      </w:pPr>
      <w:r w:rsidRPr="00F93F86">
        <w:rPr>
          <w:rFonts w:ascii="Arial" w:hAnsi="Arial" w:cs="Arial"/>
          <w:u w:val="single"/>
        </w:rPr>
        <w:t>Primary Antibody Incubation:</w:t>
      </w: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 xml:space="preserve">1. Make appropriate dilutions of antibody in antibody dilution buffer (10% (v/v) FCS in RB).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>2. Place nitrocellulose in antibody dilution and incubate at 25</w:t>
      </w:r>
      <w:r w:rsidRPr="00F93F86">
        <w:rPr>
          <w:rFonts w:ascii="Arial" w:hAnsi="Arial" w:cs="Arial"/>
          <w:vertAlign w:val="superscript"/>
        </w:rPr>
        <w:t>o</w:t>
      </w:r>
      <w:r w:rsidRPr="00F93F86">
        <w:rPr>
          <w:rFonts w:ascii="Arial" w:hAnsi="Arial" w:cs="Arial"/>
        </w:rPr>
        <w:t xml:space="preserve">C for 60 minutes with gentle agitation. This may conveniently be performed in a disposable 30ml universal tube on a tube roller.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>3. Rinse nitrocellulose in RB for 3 x 5 minutes.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</w:rPr>
      </w:pPr>
      <w:r w:rsidRPr="00F93F86">
        <w:rPr>
          <w:rFonts w:ascii="Arial" w:hAnsi="Arial" w:cs="Arial"/>
          <w:u w:val="single"/>
        </w:rPr>
        <w:t>Secondary Antibody Incubation:</w:t>
      </w: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 xml:space="preserve">1. Dilute appropriate conjugated secondary antibody in antibody dilution buffer. Alkaline phosphatase conjugates are recommended and described. Alternative conjugates and methods, </w:t>
      </w:r>
      <w:proofErr w:type="spellStart"/>
      <w:r w:rsidRPr="00F93F86">
        <w:rPr>
          <w:rFonts w:ascii="Arial" w:hAnsi="Arial" w:cs="Arial"/>
        </w:rPr>
        <w:t>eg</w:t>
      </w:r>
      <w:proofErr w:type="spellEnd"/>
      <w:r w:rsidRPr="00F93F86">
        <w:rPr>
          <w:rFonts w:ascii="Arial" w:hAnsi="Arial" w:cs="Arial"/>
        </w:rPr>
        <w:t xml:space="preserve"> HRP, biotin, ECL should be performed according to </w:t>
      </w:r>
      <w:proofErr w:type="spellStart"/>
      <w:r w:rsidRPr="00F93F86">
        <w:rPr>
          <w:rFonts w:ascii="Arial" w:hAnsi="Arial" w:cs="Arial"/>
        </w:rPr>
        <w:t>manufacturers</w:t>
      </w:r>
      <w:proofErr w:type="spellEnd"/>
      <w:r w:rsidRPr="00F93F86">
        <w:rPr>
          <w:rFonts w:ascii="Arial" w:hAnsi="Arial" w:cs="Arial"/>
        </w:rPr>
        <w:t xml:space="preserve"> instructions.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>2. Incubate nitrocellulose with diluted secondary for 60 minutes at 25</w:t>
      </w:r>
      <w:r w:rsidRPr="00F93F86">
        <w:rPr>
          <w:rFonts w:ascii="Arial" w:hAnsi="Arial" w:cs="Arial"/>
          <w:vertAlign w:val="superscript"/>
        </w:rPr>
        <w:t>o</w:t>
      </w:r>
      <w:r w:rsidRPr="00F93F86">
        <w:rPr>
          <w:rFonts w:ascii="Arial" w:hAnsi="Arial" w:cs="Arial"/>
        </w:rPr>
        <w:t xml:space="preserve">C with gentle agitation as above.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 xml:space="preserve">3. Rinse nitrocellulose 3 x 5 minutes with RB.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>4. Rinse nitrocellulose 2 x 5 minutes with alkaline phosphatase buffer (APB).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  <w:lang w:val="fr-FR"/>
        </w:rPr>
      </w:pPr>
      <w:r w:rsidRPr="00F93F86">
        <w:rPr>
          <w:rFonts w:ascii="Arial" w:hAnsi="Arial" w:cs="Arial"/>
          <w:u w:val="single"/>
          <w:lang w:val="fr-FR"/>
        </w:rPr>
        <w:t>Visualisation:</w:t>
      </w:r>
    </w:p>
    <w:p w:rsidR="00F93F86" w:rsidRPr="00F93F86" w:rsidRDefault="00F93F86" w:rsidP="00F93F86">
      <w:pPr>
        <w:pStyle w:val="Plattetekst"/>
        <w:rPr>
          <w:rFonts w:ascii="Arial" w:hAnsi="Arial" w:cs="Arial"/>
          <w:u w:val="single"/>
          <w:lang w:val="fr-FR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  <w:lang w:val="fr-FR"/>
        </w:rPr>
        <w:t xml:space="preserve">1. Place 10ml APB in a </w:t>
      </w:r>
      <w:proofErr w:type="spellStart"/>
      <w:r w:rsidRPr="00F93F86">
        <w:rPr>
          <w:rFonts w:ascii="Arial" w:hAnsi="Arial" w:cs="Arial"/>
          <w:lang w:val="fr-FR"/>
        </w:rPr>
        <w:t>disposable</w:t>
      </w:r>
      <w:proofErr w:type="spellEnd"/>
      <w:r w:rsidRPr="00F93F86">
        <w:rPr>
          <w:rFonts w:ascii="Arial" w:hAnsi="Arial" w:cs="Arial"/>
          <w:lang w:val="fr-FR"/>
        </w:rPr>
        <w:t xml:space="preserve"> 30ml </w:t>
      </w:r>
      <w:proofErr w:type="spellStart"/>
      <w:r w:rsidRPr="00F93F86">
        <w:rPr>
          <w:rFonts w:ascii="Arial" w:hAnsi="Arial" w:cs="Arial"/>
          <w:lang w:val="fr-FR"/>
        </w:rPr>
        <w:t>universal</w:t>
      </w:r>
      <w:proofErr w:type="spellEnd"/>
      <w:r w:rsidRPr="00F93F86">
        <w:rPr>
          <w:rFonts w:ascii="Arial" w:hAnsi="Arial" w:cs="Arial"/>
          <w:lang w:val="fr-FR"/>
        </w:rPr>
        <w:t xml:space="preserve"> tube. </w:t>
      </w:r>
      <w:r w:rsidRPr="00F93F86">
        <w:rPr>
          <w:rFonts w:ascii="Arial" w:hAnsi="Arial" w:cs="Arial"/>
        </w:rPr>
        <w:t xml:space="preserve">Add 33µl BCIP* solution and 66µl NBT** solution and mix by gentle inversion.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 xml:space="preserve">2. Place nitrocellulose in a clean plastic tray. Pour developer solution over nitrocellulose and leave until bands have developed. This may take from a few seconds to several minutes. 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>3. Stop the reaction by rinsing the nitrocellulose in 10% (v/v) acetic acid and allow to air dry at 25</w:t>
      </w:r>
      <w:r w:rsidRPr="00F93F86">
        <w:rPr>
          <w:rFonts w:ascii="Arial" w:hAnsi="Arial" w:cs="Arial"/>
          <w:vertAlign w:val="superscript"/>
        </w:rPr>
        <w:t>o</w:t>
      </w:r>
      <w:r w:rsidRPr="00F93F86">
        <w:rPr>
          <w:rFonts w:ascii="Arial" w:hAnsi="Arial" w:cs="Arial"/>
        </w:rPr>
        <w:t>C prior to storage/photography.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  <w:r w:rsidRPr="00F93F86">
        <w:rPr>
          <w:rFonts w:ascii="Arial" w:hAnsi="Arial" w:cs="Arial"/>
        </w:rPr>
        <w:t xml:space="preserve">*BCIP (5-Bromo-4-Chloro-3-Indolyl Phosphate (p-toluidine salt)). Store at –20°C. in small aliquots as a 50 mg/ml solution in 100% dimethyl </w:t>
      </w:r>
      <w:proofErr w:type="spellStart"/>
      <w:r w:rsidRPr="00F93F86">
        <w:rPr>
          <w:rFonts w:ascii="Arial" w:hAnsi="Arial" w:cs="Arial"/>
        </w:rPr>
        <w:t>formamide</w:t>
      </w:r>
      <w:proofErr w:type="spellEnd"/>
      <w:r w:rsidRPr="00F93F86">
        <w:rPr>
          <w:rFonts w:ascii="Arial" w:hAnsi="Arial" w:cs="Arial"/>
        </w:rPr>
        <w:t>.</w:t>
      </w:r>
    </w:p>
    <w:p w:rsidR="00F93F86" w:rsidRPr="00F93F86" w:rsidRDefault="00F93F86" w:rsidP="00F93F86">
      <w:pPr>
        <w:pStyle w:val="Plattetekst"/>
        <w:rPr>
          <w:rFonts w:ascii="Arial" w:hAnsi="Arial" w:cs="Arial"/>
        </w:rPr>
      </w:pPr>
    </w:p>
    <w:p w:rsidR="00B21ABC" w:rsidRPr="00363E8F" w:rsidRDefault="00F93F86" w:rsidP="00F93F86">
      <w:pPr>
        <w:rPr>
          <w:sz w:val="20"/>
          <w:szCs w:val="20"/>
          <w:lang w:val="en-US"/>
        </w:rPr>
      </w:pPr>
      <w:r w:rsidRPr="00F93F86">
        <w:rPr>
          <w:rFonts w:ascii="Arial" w:hAnsi="Arial" w:cs="Arial"/>
          <w:sz w:val="20"/>
          <w:szCs w:val="20"/>
          <w:lang w:val="en-US"/>
        </w:rPr>
        <w:t xml:space="preserve">** NBT (Nitro-blue Tetrazolium). Store at –20°C in small aliquots as 50 mg/ml solution in 70% (v/v) dimethyl </w:t>
      </w:r>
      <w:proofErr w:type="spellStart"/>
      <w:r w:rsidRPr="00F93F86">
        <w:rPr>
          <w:rFonts w:ascii="Arial" w:hAnsi="Arial" w:cs="Arial"/>
          <w:sz w:val="20"/>
          <w:szCs w:val="20"/>
          <w:lang w:val="en-US"/>
        </w:rPr>
        <w:t>formamide</w:t>
      </w:r>
      <w:proofErr w:type="spellEnd"/>
      <w:r w:rsidRPr="00F93F86">
        <w:rPr>
          <w:rFonts w:ascii="Arial" w:hAnsi="Arial" w:cs="Arial"/>
          <w:sz w:val="20"/>
          <w:szCs w:val="20"/>
          <w:lang w:val="en-US"/>
        </w:rPr>
        <w:t xml:space="preserve"> in dH</w:t>
      </w:r>
      <w:r w:rsidRPr="00F93F86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F93F86">
        <w:rPr>
          <w:rFonts w:ascii="Arial" w:hAnsi="Arial" w:cs="Arial"/>
          <w:sz w:val="20"/>
          <w:szCs w:val="20"/>
          <w:lang w:val="en-US"/>
        </w:rPr>
        <w:t>O.</w:t>
      </w:r>
    </w:p>
    <w:p w:rsidR="003F76AC" w:rsidRPr="00363E8F" w:rsidRDefault="003F76AC" w:rsidP="00B21AB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363E8F" w:rsidRDefault="00F96060" w:rsidP="00B21ABC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</w:p>
    <w:sectPr w:rsidR="00F96060" w:rsidRPr="00363E8F" w:rsidSect="00F9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45A"/>
    <w:multiLevelType w:val="hybridMultilevel"/>
    <w:tmpl w:val="CD54C600"/>
    <w:lvl w:ilvl="0" w:tplc="2E865A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8189B"/>
    <w:rsid w:val="00094C44"/>
    <w:rsid w:val="000A318A"/>
    <w:rsid w:val="000E1391"/>
    <w:rsid w:val="00114923"/>
    <w:rsid w:val="00156CE2"/>
    <w:rsid w:val="00253BDA"/>
    <w:rsid w:val="00277B31"/>
    <w:rsid w:val="00280EFF"/>
    <w:rsid w:val="00297C03"/>
    <w:rsid w:val="002D5FF9"/>
    <w:rsid w:val="00363E8F"/>
    <w:rsid w:val="003C7808"/>
    <w:rsid w:val="003F76AC"/>
    <w:rsid w:val="00473828"/>
    <w:rsid w:val="00533429"/>
    <w:rsid w:val="0064744F"/>
    <w:rsid w:val="00776E14"/>
    <w:rsid w:val="007E536F"/>
    <w:rsid w:val="008759E4"/>
    <w:rsid w:val="0092362B"/>
    <w:rsid w:val="00B21ABC"/>
    <w:rsid w:val="00BD15A0"/>
    <w:rsid w:val="00C2319B"/>
    <w:rsid w:val="00CB198C"/>
    <w:rsid w:val="00CB6D06"/>
    <w:rsid w:val="00D12EF4"/>
    <w:rsid w:val="00D70A49"/>
    <w:rsid w:val="00D75166"/>
    <w:rsid w:val="00F93F8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2019-09-10T14:06:00Z</dcterms:created>
  <dcterms:modified xsi:type="dcterms:W3CDTF">2019-09-10T14:06:00Z</dcterms:modified>
</cp:coreProperties>
</file>